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E0" w:rsidRDefault="00831799" w:rsidP="00831799">
      <w:pPr>
        <w:pStyle w:val="Ttulo1"/>
        <w:jc w:val="center"/>
      </w:pPr>
      <w:r>
        <w:t>CAPITULACIONES MATRIMONIALES</w:t>
      </w:r>
    </w:p>
    <w:p w:rsidR="00831799" w:rsidRDefault="00831799">
      <w:pPr>
        <w:rPr>
          <w:rFonts w:ascii="Tahoma" w:hAnsi="Tahoma" w:cs="Tahoma"/>
          <w:sz w:val="27"/>
          <w:szCs w:val="27"/>
        </w:rPr>
      </w:pPr>
    </w:p>
    <w:p w:rsidR="00831799" w:rsidRPr="00831799" w:rsidRDefault="00831799" w:rsidP="00831799">
      <w:pPr>
        <w:jc w:val="both"/>
        <w:rPr>
          <w:rFonts w:ascii="Tahoma" w:hAnsi="Tahoma" w:cs="Tahoma"/>
          <w:sz w:val="27"/>
          <w:szCs w:val="27"/>
        </w:rPr>
      </w:pPr>
      <w:r w:rsidRPr="00831799">
        <w:rPr>
          <w:rFonts w:ascii="Tahoma" w:hAnsi="Tahoma" w:cs="Tahoma"/>
          <w:sz w:val="27"/>
          <w:szCs w:val="27"/>
        </w:rPr>
        <w:t>Las capitulaciones matrimoniales y sus modificaciones, constarán en escritura pública cuando los cónyuges se hagan copartícipes o transmitan la propiedad de bienes cuando la ley exija tal requisito, para su transmisión; pudiéndose inscribir en el Registro Público de la Propiedad.</w:t>
      </w:r>
      <w:bookmarkStart w:id="0" w:name="_GoBack"/>
      <w:bookmarkEnd w:id="0"/>
    </w:p>
    <w:sectPr w:rsidR="00831799" w:rsidRPr="008317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99"/>
    <w:rsid w:val="00831799"/>
    <w:rsid w:val="00E2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1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1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1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1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Tomas</dc:creator>
  <cp:lastModifiedBy>Lic Tomas</cp:lastModifiedBy>
  <cp:revision>1</cp:revision>
  <dcterms:created xsi:type="dcterms:W3CDTF">2018-01-05T20:20:00Z</dcterms:created>
  <dcterms:modified xsi:type="dcterms:W3CDTF">2018-01-05T20:26:00Z</dcterms:modified>
</cp:coreProperties>
</file>